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Daily-Sign-In and critical control confirmation completed by all workers —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Site induction completed by all workers on first day —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rPr>
              <w:t>—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Toolbox talk conducted weekly — covers tasks, hazards, controls, weather, site changes —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 Card (White Card) —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 worker not site and SWMS inducted —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Incident reporting: incidents, injuries, near-misses and hazards — notify</w:t>
            </w:r>
            <w:r>
              <w:rPr>
                <w:rFonts w:ascii="Aptos" w:hAnsi="Aptos"/>
                <w:bCs/>
                <w:sz w:val="16"/>
                <w:szCs w:val="16"/>
              </w:rPr>
              <w:t xml:space="preserve"> PM’s WhatsApp work group</w:t>
            </w:r>
            <w:r>
              <w:rPr>
                <w:rFonts w:ascii="Aptos" w:hAnsi="Aptos"/>
                <w:sz w:val="16"/>
                <w:szCs w:val="16"/>
              </w:rPr>
              <w:t xml:space="preserve"> —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First aid kit, fire extinguisher, spill kit —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emergency — all work ceases until area declared safe by supervisor. —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 Drop zones below all elevated work barricaded to full fall-line of debris —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Residents notified, via third party, minimum 48 hours before work commences —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Signage at building entry and work zones —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Resident or member of public enters exclusion zone — barricade displaced or removed —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High Access —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Working at Heights Risk Assessment (WAH_RA) completed before each ladder use —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Ladder damaged/defective — footing unstable/uneven — inadequate control of area below — unsafe weather/wind — electrical hazards not controlled —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Scaffold —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Load rating displayed and not exceeded; no stockpiling beyond immediate need; components not thrown —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tag missing/expired/red — guardrails/toe boards incomplete — settlement/subsidence — unapproved modification —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rPr>
              <w:t>—</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 </w:t>
            </w:r>
            <w:r>
              <w:rPr>
                <w:color w:val="000000"/>
                <w:sz w:val="16"/>
                <w:szCs w:val="16"/>
              </w:rPr>
              <w:t>rope/edge damage, comms failure</w:t>
            </w:r>
            <w:r>
              <w:rPr>
                <w:bCs/>
                <w:sz w:val="16"/>
                <w:szCs w:val="16"/>
              </w:rPr>
              <w:t xml:space="preserve"> — </w:t>
            </w:r>
            <w:r>
              <w:rPr>
                <w:color w:val="000000"/>
                <w:sz w:val="16"/>
                <w:szCs w:val="16"/>
              </w:rPr>
              <w:t>exclusion zone breach</w:t>
            </w:r>
            <w:r>
              <w:rPr>
                <w:bCs/>
                <w:sz w:val="16"/>
                <w:szCs w:val="16"/>
              </w:rPr>
              <w:t xml:space="preserve"> — </w:t>
            </w:r>
            <w:r>
              <w:rPr>
                <w:color w:val="000000"/>
                <w:sz w:val="16"/>
                <w:szCs w:val="16"/>
              </w:rPr>
              <w:t>rescue not ready</w:t>
            </w:r>
            <w:r>
              <w:rPr>
                <w:bCs/>
                <w:sz w:val="16"/>
                <w:szCs w:val="16"/>
              </w:rPr>
              <w:t xml:space="preserve"> — </w:t>
            </w:r>
            <w:r>
              <w:rPr>
                <w:color w:val="000000"/>
                <w:sz w:val="16"/>
                <w:szCs w:val="16"/>
              </w:rPr>
              <w:t>electrical storms</w:t>
            </w:r>
            <w:r>
              <w:rPr>
                <w:bCs/>
                <w:sz w:val="16"/>
                <w:szCs w:val="16"/>
              </w:rPr>
              <w:t xml:space="preserve"> — </w:t>
            </w:r>
            <w:r>
              <w:rPr>
                <w:color w:val="000000"/>
                <w:sz w:val="16"/>
                <w:szCs w:val="16"/>
              </w:rPr>
              <w:t>heavy rain affecting edges</w:t>
            </w:r>
            <w:r>
              <w:rPr>
                <w:bCs/>
                <w:sz w:val="16"/>
                <w:szCs w:val="16"/>
              </w:rPr>
              <w:t xml:space="preserve"> —</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EWP Operation —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Fall from EWP platform. EWP tip-over from ground failure, uneven ground, overloading or exceeding operating envelope. Collision with pedestrians, vehicles, overhead structures, powerlines, or building elements. Crushing —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pre-start inspection completed and recorded —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Overhead clearances measured and confirmed safe —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Harness inspected —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Exclusion zone at ground level around EWP —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Daily weather check —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EWP defect detected — ground conditions deteriorate — wind exceeds manufacturer's limit — harness not connected—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Lift plan completed: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Structural engineer wind loading sign-off obtained for panel installation sequence — temporary and permanent wind loading conditions verified for panels during and after installation</w:t>
            </w:r>
          </w:p>
          <w:p>
            <w:pPr>
              <w:spacing w:before="20" w:after="20" w:line="276"/>
              <w:numPr>
                <w:ilvl w:val="0"/>
                <w:numId w:val="44"/>
              </w:numPr>
            </w:pPr>
            <w:r>
              <w:rPr>
                <w:rFonts w:ascii="Aptos" w:hAnsi="Aptos"/>
                <w:sz w:val="16"/>
                <w:szCs w:val="16"/>
              </w:rPr>
              <w:t xml:space="preserve">Exclusion zone established below lifting zone —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 panel not released from lifting equipment until minimum fixings installed per design. Bracing props locked (not hand-tight) and inspected per design —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 verified with structural engineer for load distribution. Curtain wall and unitised systems: building tolerance survey completed before fabrication — floor-to-floor heights, slab edges, column positions verified against design tolerances. Bracing inspection regime maintained —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 stacked per manufacturer requirements, secured against wind. Oversized panel delivery: route survey from truck to installation point — access width, overhead clearance, floor loading confirmed. Lifting and handling method statement for panels exceeding 100kg or 3m length. Delivery coordination —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 rigging equipment defective — panel damaged and structural integrity compromised — exclusion zone breached — scaffold/EWP overloaded — fixing system not per design specification — bracing removed without engineer approval —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Hazardous materials assessment completed: existing cladding tested for asbestos and lead —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 barricading and signage in place</w:t>
            </w:r>
          </w:p>
          <w:p>
            <w:pPr>
              <w:spacing w:before="20" w:after="20" w:line="276"/>
              <w:numPr>
                <w:ilvl w:val="0"/>
                <w:numId w:val="46"/>
              </w:numPr>
            </w:pPr>
            <w:r>
              <w:rPr>
                <w:rFonts w:ascii="Aptos" w:hAnsi="Aptos"/>
                <w:sz w:val="16"/>
                <w:szCs w:val="16"/>
              </w:rPr>
              <w:t xml:space="preserve">All panels secured before fixing removal commences —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 no dropping or throwing panels. Debris containment —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 top to bottom, one panel at a time. Asbestos or lead identified: licensed removalist engaged per WHS Regulation. Waste segregation —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 structural concern raised by competent person — panel release not controlled — exclusion zone breached — wind making panel handling unsafe —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Drill bits and fasteners matched to substrate — masonry, steel, or timber. Depth stop set for all chemical anchor drilling. Vibration-dampened tool handles where available. All power tools test-tagged current per AS/NZS 3012 — 3-monthly on construction sites.</w:t>
            </w:r>
          </w:p>
          <w:p>
            <w:pPr>
              <w:spacing w:before="20" w:after="20" w:line="276"/>
            </w:pPr>
            <w:r>
              <w:rPr>
                <w:rFonts w:ascii="Aptos" w:hAnsi="Aptos"/>
                <w:sz w:val="16"/>
                <w:szCs w:val="16"/>
                <w:b/>
              </w:rPr>
              <w:t xml:space="preserve">Admin: </w:t>
            </w:r>
            <w:r>
              <w:rPr>
                <w:rFonts w:ascii="Aptos" w:hAnsi="Aptos"/>
                <w:sz w:val="16"/>
                <w:szCs w:val="16"/>
              </w:rPr>
              <w:t xml:space="preserve">Fixing schedule and specification reviewed — fastener type, size, spacing, edge distance, embedment depth per cladding design. Panel alignment and plumb checked against design tolerances before fixing —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Substrate different from specification — fixing pull-out failure — services detected in drilling path — power tool defective —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Designated cutting area with fire-resistant surface. Guard fitted on all angle grinders — correct disc type for material (metal cutting disc, not masonry). Fire extinguisher within 5m of hot work area. Sharp edge protection — deburring after cutting.</w:t>
            </w:r>
          </w:p>
          <w:p>
            <w:pPr>
              <w:spacing w:before="20" w:after="20" w:line="276"/>
            </w:pPr>
            <w:r>
              <w:rPr>
                <w:rFonts w:ascii="Aptos" w:hAnsi="Aptos"/>
                <w:sz w:val="16"/>
                <w:szCs w:val="16"/>
                <w:b/>
              </w:rPr>
              <w:t xml:space="preserve">Admin: </w:t>
            </w:r>
            <w:r>
              <w:rPr>
                <w:rFonts w:ascii="Aptos" w:hAnsi="Aptos"/>
                <w:sz w:val="16"/>
                <w:szCs w:val="16"/>
              </w:rPr>
              <w:t xml:space="preserve">Hot work assessment completed if cutting near combustibles. Fire watch maintained for 30 minutes after hot work ceases. Cutting scheduled to minimise impact on adjacent work — noise and spark management. Off-site prefabrication preferred where possible.</w:t>
            </w:r>
          </w:p>
          <w:p>
            <w:pPr>
              <w:spacing w:before="20" w:after="20" w:line="276"/>
            </w:pPr>
            <w:r>
              <w:rPr>
                <w:rFonts w:ascii="Aptos" w:hAnsi="Aptos"/>
                <w:sz w:val="16"/>
                <w:szCs w:val="16"/>
                <w:b/>
              </w:rPr>
              <w:t xml:space="preserve">PPE: </w:t>
            </w:r>
            <w:r>
              <w:rPr>
                <w:rFonts w:ascii="Aptos" w:hAnsi="Aptos"/>
                <w:sz w:val="16"/>
                <w:szCs w:val="16"/>
              </w:rPr>
              <w:t xml:space="preserve">Face shield and eye protection. Hearing protection (&gt;85 dB, Class 5). Leather or cut-resistant gloves. Long sleeves — no synthetic clothing near sparks.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Grinder guard missing or damaged — wrong disc type for material — combustibles in spark path — fire extinguisher not available —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Flashings pre-formed to correct profile —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 </w:t>
            </w:r>
            <w:r>
              <w:rPr>
                <w:rFonts w:ascii="Aptos" w:hAnsi="Aptos"/>
                <w:sz w:val="16"/>
                <w:szCs w:val="16"/>
              </w:rPr>
              <w:t xml:space="preserve">Flashing installation sequence per cladding design — installed before panel closure. Overlap direction and weatherlap dimensions confirmed per specification. Sealant compatibility with cladding system verified — no silicone on painted surfaces unless specified.</w:t>
            </w:r>
          </w:p>
          <w:p>
            <w:pPr>
              <w:spacing w:before="20" w:after="20" w:line="276"/>
            </w:pPr>
            <w:r>
              <w:rPr>
                <w:rFonts w:ascii="Aptos" w:hAnsi="Aptos"/>
                <w:sz w:val="16"/>
                <w:szCs w:val="16"/>
                <w:b/>
              </w:rPr>
              <w:t xml:space="preserve">PPE: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Flashing profile incorrect — wind making handling unsafe — sealant compatibility not confirmed —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 all ACM identified, labelled, and documented in asbestos register</w:t>
            </w:r>
          </w:p>
          <w:p>
            <w:pPr>
              <w:spacing w:before="20" w:after="20" w:line="276"/>
              <w:numPr>
                <w:ilvl w:val="0"/>
                <w:numId w:val="48"/>
              </w:numPr>
            </w:pPr>
            <w:r>
              <w:rPr>
                <w:rFonts w:ascii="Aptos" w:hAnsi="Aptos"/>
                <w:sz w:val="16"/>
                <w:szCs w:val="16"/>
              </w:rPr>
              <w:t xml:space="preserve">If ACM identified: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 PVA spray before cutting or drilling. No power tools on ACM unless equipped with HEPA-filtered dust extraction. Containment enclosure for removal works. HEPA vacuum for clean-up —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 removed and bagged before leaving work area. Eye protection.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 any ACM found friable or damaged — removal area not enclosed — air monitoring not in place — workers without appropriate training or licence — ACM waste not correctly contained —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Mechanical joint preparation — oscillating tool or hook blade to remove old sealant —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Backer rod installed to correct depth before sealant application —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SDS reviewed for sealant and primer products —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Joint preparation exposes silica-bearing material without silica controls in place — SDS not available — product applied to wet or contaminated joint —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Surface Preparation —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Use HEPA vacuum fitted to any powered sanders — Drop sheets to protect surfaces and contain debris — RCD protection for all 240V tools/leads (test &amp; tag in date) —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SDS reviewed for all chemical paint removers and cleaning agents —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Lead paint or suspected or detected — dust extraction fails on powered sander —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lastRenderedPageBreak/>
              <w:t>Hazardous Chemicals —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  Quantities kept to daily need only on scaffold —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 current version (within 5 years). Workers briefed on product hazards, PPE requirements, and first aid before first use of each product  —</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 ventilation inadequate (fumes detectable at breathing zone) — chemical spill not contained — worker reports symptoms of chemical exposure (headache, nausea, dizziness, skin irritation) —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 trolleys and powered scaffold-mounted materials winch/hoist &gt;20 kg or repetitive carries — Paint in manageable container sizes (≤20L preferred) —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Pre-task assessment of manual handling risks — route, load weight, distance, stairs, and obstacles — Plan delivery to minimise carry distances —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Worker reports pain or strain — access route obstructed —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 Designated waste bins —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 each work area cleared of debris and waste at end of each task and end of day — paint and solvent waste disposed complies with EPA requirements —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Fire risk from accumulated flammable waste —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 </w:t>
            </w:r>
            <w:r>
              <w:rPr>
                <w:rFonts w:ascii="Aptos" w:hAnsi="Aptos"/>
                <w:b/>
                <w:bCs/>
                <w:sz w:val="16"/>
                <w:szCs w:val="16"/>
              </w:rPr>
              <w:t>Wind triggers</w:t>
            </w:r>
            <w:r>
              <w:rPr>
                <w:rFonts w:ascii="Aptos" w:hAnsi="Aptos"/>
                <w:sz w:val="16"/>
                <w:szCs w:val="16"/>
              </w:rPr>
              <w:t xml:space="preserve">: &gt;40 km/h suspend all elevated work (scaffold, EWP, fall restraint, rope access) &gt;60 km/h — suspend all outdoor work and secure materials — </w:t>
            </w:r>
            <w:r>
              <w:rPr>
                <w:rFonts w:ascii="Aptos" w:hAnsi="Aptos"/>
                <w:b/>
                <w:bCs/>
                <w:sz w:val="16"/>
                <w:szCs w:val="16"/>
              </w:rPr>
              <w:t>Lightning:</w:t>
            </w:r>
            <w:r>
              <w:rPr>
                <w:rFonts w:ascii="Aptos" w:hAnsi="Aptos"/>
                <w:sz w:val="16"/>
                <w:szCs w:val="16"/>
              </w:rPr>
              <w:t xml:space="preserve"> if thunder heard or lightning seen —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 wind exceeds trigger thresholds — lightning within 10 km —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Steel capped footwear (AS/NZS 2210.3) • High-vis vest (AS/NZS 4602) or long sleeves • Eye protection (AS/NZS 1337.1) • P2respirator (AS/NZS 1716) — mandatory for silica, spray painting, lead, and solvent-based products • Hearing protection (AS/NZS 1270) — mandatory &gt;85 dB • Chemical-resistant gloves (nitrile minimum) • Full-body harness (AS/NZS 1891.1) — for all work at height without guardrails • Sun protection —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Scaffold (mobile and fixed). EWP — boom lift, scissor lift. Pressure washer. Airless spray unit. Power tools —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All plant and equipment maintained per OEM’s schedule. Test-tag on all 240V tools and leads —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Chemical register maintained —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